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Reģ.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2D778928" w14:textId="77777777" w:rsidR="00765E64" w:rsidRDefault="00765E64" w:rsidP="001F1FDD">
      <w:pPr>
        <w:pStyle w:val="Pamatteksts"/>
        <w:ind w:right="66"/>
        <w:jc w:val="center"/>
        <w:rPr>
          <w:b/>
          <w:lang w:val="lv-LV"/>
        </w:rPr>
      </w:pPr>
      <w:r w:rsidRPr="00F23C68">
        <w:rPr>
          <w:b/>
          <w:lang w:val="lv-LV"/>
        </w:rPr>
        <w:t xml:space="preserve">“Daugavpils </w:t>
      </w:r>
      <w:r>
        <w:rPr>
          <w:b/>
          <w:lang w:val="lv-LV"/>
        </w:rPr>
        <w:t>valsts</w:t>
      </w:r>
      <w:r w:rsidRPr="00F23C68">
        <w:rPr>
          <w:b/>
          <w:lang w:val="lv-LV"/>
        </w:rPr>
        <w:t>pilsētas pašvaldības iestādes „So</w:t>
      </w:r>
      <w:r>
        <w:rPr>
          <w:b/>
          <w:lang w:val="lv-LV"/>
        </w:rPr>
        <w:t xml:space="preserve">ciālais dienests” </w:t>
      </w:r>
      <w:r w:rsidRPr="00F23C68">
        <w:rPr>
          <w:b/>
          <w:lang w:val="lv-LV"/>
        </w:rPr>
        <w:t>darbinieku nelaimes gadījumu apdrošināšana”, ID Nr. DPPISD 202</w:t>
      </w:r>
      <w:r>
        <w:rPr>
          <w:b/>
          <w:lang w:val="lv-LV"/>
        </w:rPr>
        <w:t>5</w:t>
      </w:r>
      <w:r w:rsidRPr="00F23C68">
        <w:rPr>
          <w:b/>
          <w:lang w:val="lv-LV"/>
        </w:rPr>
        <w:t>/</w:t>
      </w:r>
      <w:r>
        <w:rPr>
          <w:b/>
          <w:lang w:val="lv-LV"/>
        </w:rPr>
        <w:t>2</w:t>
      </w:r>
    </w:p>
    <w:p w14:paraId="686E9190" w14:textId="1CE5DB99" w:rsidR="00276C19" w:rsidRPr="008946A3" w:rsidRDefault="001F1FDD" w:rsidP="001F1FDD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</w:t>
      </w:r>
      <w:r w:rsidR="00765E64" w:rsidRPr="00765E64">
        <w:rPr>
          <w:lang w:val="lv-LV" w:eastAsia="en-US"/>
        </w:rPr>
        <w:t xml:space="preserve"> </w:t>
      </w:r>
      <w:r w:rsidR="00765E64">
        <w:rPr>
          <w:lang w:val="lv-LV" w:eastAsia="en-US"/>
        </w:rPr>
        <w:t>2.-4.1/2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07B48152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765E64">
        <w:t>5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765E64">
        <w:rPr>
          <w:spacing w:val="-1"/>
        </w:rPr>
        <w:t>13</w:t>
      </w:r>
      <w:r w:rsidR="001F1FDD">
        <w:rPr>
          <w:spacing w:val="-1"/>
        </w:rPr>
        <w:t>.februārī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BE0C1E">
        <w:rPr>
          <w:color w:val="000000" w:themeColor="text1"/>
        </w:rPr>
        <w:t>2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018F9D26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765E64">
        <w:rPr>
          <w:color w:val="000000" w:themeColor="text1"/>
        </w:rPr>
        <w:t>10</w:t>
      </w:r>
      <w:r w:rsidR="00011205">
        <w:rPr>
          <w:color w:val="000000" w:themeColor="text1"/>
        </w:rPr>
        <w:t>:</w:t>
      </w:r>
      <w:r w:rsidR="00362283">
        <w:rPr>
          <w:color w:val="000000" w:themeColor="text1"/>
        </w:rPr>
        <w:t>15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0F70EDD8" w14:textId="32D1CBF4" w:rsidR="001F1FDD" w:rsidRDefault="001F1FDD" w:rsidP="00BE0C1E">
            <w:pPr>
              <w:spacing w:line="360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="00D83B0F" w:rsidRPr="008946A3">
              <w:rPr>
                <w:color w:val="000000" w:themeColor="text1"/>
              </w:rPr>
              <w:t>:</w:t>
            </w:r>
          </w:p>
          <w:p w14:paraId="2C6A1E2D" w14:textId="30252028" w:rsidR="001F1FDD" w:rsidRPr="008946A3" w:rsidRDefault="001F1FDD" w:rsidP="00BE0C1E">
            <w:pPr>
              <w:spacing w:line="360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  <w:r w:rsidR="00765E64">
              <w:rPr>
                <w:color w:val="000000" w:themeColor="text1"/>
              </w:rPr>
              <w:t>:</w:t>
            </w:r>
          </w:p>
          <w:p w14:paraId="2273E3FE" w14:textId="0893C28F" w:rsidR="00F74333" w:rsidRPr="008946A3" w:rsidRDefault="00F74333" w:rsidP="008F09C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</w:tcPr>
          <w:p w14:paraId="7A6134FB" w14:textId="77777777" w:rsidR="00F74333" w:rsidRDefault="00D83B0F" w:rsidP="00BE0C1E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R.Vavilova</w:t>
            </w:r>
            <w:r w:rsidRPr="008946A3">
              <w:t xml:space="preserve"> – </w:t>
            </w:r>
            <w:r w:rsidRPr="008946A3">
              <w:rPr>
                <w:color w:val="000000" w:themeColor="text1"/>
              </w:rPr>
              <w:t xml:space="preserve">Daugavpils </w:t>
            </w:r>
            <w:r w:rsidR="00E503BD" w:rsidRPr="008946A3">
              <w:rPr>
                <w:color w:val="000000" w:themeColor="text1"/>
              </w:rPr>
              <w:t>valsts</w:t>
            </w:r>
            <w:r w:rsidRPr="008946A3">
              <w:rPr>
                <w:color w:val="000000" w:themeColor="text1"/>
              </w:rPr>
              <w:t>pilsētas pašvaldības iestādes “Sociālais dienests” (turpmāk – Dienests) vadītājas vietniece,</w:t>
            </w:r>
          </w:p>
          <w:p w14:paraId="52FE54E6" w14:textId="4CD00CAC" w:rsidR="001F1FDD" w:rsidRPr="008946A3" w:rsidRDefault="001F1FDD" w:rsidP="00BE0C1E">
            <w:pPr>
              <w:ind w:right="2"/>
              <w:jc w:val="both"/>
              <w:rPr>
                <w:color w:val="000000" w:themeColor="text1"/>
              </w:rPr>
            </w:pPr>
            <w:r w:rsidRPr="001F1FDD">
              <w:rPr>
                <w:b/>
                <w:color w:val="000000" w:themeColor="text1"/>
              </w:rPr>
              <w:t>V.Loginovs</w:t>
            </w:r>
            <w:r>
              <w:rPr>
                <w:color w:val="000000" w:themeColor="text1"/>
              </w:rPr>
              <w:t xml:space="preserve"> – Dienesta Saimniecības sektora vadītājs</w:t>
            </w:r>
            <w:r w:rsidR="00BE0C1E">
              <w:rPr>
                <w:color w:val="000000" w:themeColor="text1"/>
              </w:rPr>
              <w:t>,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8F09C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E9FC545" w14:textId="3DE3AF74" w:rsidR="001F1FDD" w:rsidRPr="001F1FDD" w:rsidRDefault="001F1FDD" w:rsidP="008F09CE">
            <w:pPr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O.Daļecka – </w:t>
            </w:r>
            <w:r w:rsidRPr="001F1FDD">
              <w:rPr>
                <w:bCs/>
                <w:color w:val="000000" w:themeColor="text1"/>
              </w:rPr>
              <w:t>Dienesta Sociālo pakalpojumu nodaļas vadītāja</w:t>
            </w:r>
            <w:r>
              <w:rPr>
                <w:bCs/>
                <w:color w:val="000000" w:themeColor="text1"/>
              </w:rPr>
              <w:t>,</w:t>
            </w:r>
          </w:p>
          <w:p w14:paraId="53CAEC40" w14:textId="5EBA7476" w:rsidR="00D83B0F" w:rsidRDefault="00937140" w:rsidP="008F09CE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L.Kiškoviča</w:t>
            </w:r>
            <w:r w:rsidR="004C5CB8" w:rsidRPr="008946A3">
              <w:rPr>
                <w:color w:val="000000" w:themeColor="text1"/>
              </w:rPr>
              <w:t xml:space="preserve"> – Die</w:t>
            </w:r>
            <w:r w:rsidR="001F1FDD">
              <w:rPr>
                <w:color w:val="000000" w:themeColor="text1"/>
              </w:rPr>
              <w:t>nesta Juridiskā sektora juriste</w:t>
            </w:r>
            <w:r w:rsidR="00D83B0F" w:rsidRPr="008946A3">
              <w:rPr>
                <w:color w:val="000000" w:themeColor="text1"/>
              </w:rPr>
              <w:t>,</w:t>
            </w:r>
          </w:p>
          <w:p w14:paraId="5DCD8763" w14:textId="77777777" w:rsidR="00873B7B" w:rsidRDefault="00873B7B" w:rsidP="008F09CE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 xml:space="preserve">K.Cimoška – </w:t>
            </w:r>
            <w:r w:rsidRPr="008946A3">
              <w:rPr>
                <w:color w:val="000000" w:themeColor="text1"/>
              </w:rPr>
              <w:t>Dienesta Juridiskā sektora juriste</w:t>
            </w:r>
            <w:r w:rsidR="00765E64">
              <w:rPr>
                <w:color w:val="000000" w:themeColor="text1"/>
              </w:rPr>
              <w:t>,</w:t>
            </w:r>
          </w:p>
          <w:p w14:paraId="65E09747" w14:textId="6C65E44D" w:rsidR="00765E64" w:rsidRPr="008946A3" w:rsidRDefault="00765E64" w:rsidP="008F09CE">
            <w:pPr>
              <w:ind w:right="2"/>
              <w:jc w:val="both"/>
              <w:rPr>
                <w:color w:val="000000" w:themeColor="text1"/>
              </w:rPr>
            </w:pPr>
            <w:r w:rsidRPr="008F09CE">
              <w:rPr>
                <w:b/>
                <w:color w:val="000000" w:themeColor="text1"/>
              </w:rPr>
              <w:t>M.Liniņa</w:t>
            </w:r>
            <w:r>
              <w:rPr>
                <w:color w:val="000000" w:themeColor="text1"/>
              </w:rPr>
              <w:t xml:space="preserve"> – Dienesta Juridiskā sektora juriskonsulte.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61099BC2" w:rsidR="00B66329" w:rsidRPr="008946A3" w:rsidRDefault="00B66329" w:rsidP="008F09CE">
      <w:pPr>
        <w:pStyle w:val="Pamatteksts"/>
        <w:ind w:left="142" w:right="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 xml:space="preserve">ošanas pamatojums: Dienesta </w:t>
      </w:r>
      <w:r w:rsidR="008F09CE">
        <w:rPr>
          <w:color w:val="000000" w:themeColor="text1"/>
        </w:rPr>
        <w:t>2025</w:t>
      </w:r>
      <w:r w:rsidR="008F09CE" w:rsidRPr="008946A3">
        <w:rPr>
          <w:color w:val="000000" w:themeColor="text1"/>
        </w:rPr>
        <w:t xml:space="preserve">.gada </w:t>
      </w:r>
      <w:r w:rsidR="008F09CE">
        <w:rPr>
          <w:color w:val="000000" w:themeColor="text1"/>
        </w:rPr>
        <w:t>3.janvāra</w:t>
      </w:r>
      <w:r w:rsidR="008F09CE" w:rsidRPr="008946A3">
        <w:rPr>
          <w:color w:val="000000" w:themeColor="text1"/>
        </w:rPr>
        <w:t xml:space="preserve"> rīkojums Nr.</w:t>
      </w:r>
      <w:r w:rsidR="008F09CE" w:rsidRPr="00D53E76">
        <w:rPr>
          <w:color w:val="000000" w:themeColor="text1"/>
        </w:rPr>
        <w:t xml:space="preserve">1.-12./5 </w:t>
      </w:r>
      <w:r w:rsidRPr="008946A3">
        <w:rPr>
          <w:color w:val="000000" w:themeColor="text1"/>
        </w:rPr>
        <w:t>“Par preču un pakalpojumu iepirkšanas un līgumu izpildes kontroli Dienestā”.</w:t>
      </w:r>
    </w:p>
    <w:p w14:paraId="155FEFDA" w14:textId="2DAC4E6D" w:rsidR="00B66329" w:rsidRPr="008946A3" w:rsidRDefault="00B66329" w:rsidP="008F09CE">
      <w:pPr>
        <w:pStyle w:val="Pamatteksts"/>
        <w:spacing w:before="119"/>
        <w:ind w:left="142"/>
        <w:rPr>
          <w:b/>
        </w:rPr>
      </w:pPr>
      <w:r w:rsidRPr="008946A3">
        <w:t>Protokolē: Juridiskā sektora juris</w:t>
      </w:r>
      <w:r w:rsidR="00D83B0F" w:rsidRPr="008946A3">
        <w:t>te</w:t>
      </w:r>
      <w:r w:rsidRPr="008946A3">
        <w:t xml:space="preserve"> </w:t>
      </w:r>
      <w:r w:rsidR="00622997" w:rsidRPr="008946A3">
        <w:rPr>
          <w:bCs/>
        </w:rPr>
        <w:t>K.Cimoška</w:t>
      </w:r>
      <w:r w:rsidRPr="008946A3">
        <w:rPr>
          <w:bCs/>
        </w:rPr>
        <w:t>.</w:t>
      </w:r>
    </w:p>
    <w:p w14:paraId="5B0DD7D1" w14:textId="3D1D6530" w:rsidR="008F09CE" w:rsidRDefault="00B66329" w:rsidP="008F09CE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Pr="008946A3">
        <w:t xml:space="preserve"> </w:t>
      </w:r>
      <w:r w:rsidR="008F09CE">
        <w:t>Piedāvājumu atvēršana, novērtēšana un lēmuma pieņemšana par uzvarētāju zemsliekšņa iepirkumā.</w:t>
      </w:r>
    </w:p>
    <w:p w14:paraId="596DC4E2" w14:textId="53DC9E53" w:rsidR="008F09CE" w:rsidRDefault="008F09CE" w:rsidP="00BE0C1E">
      <w:pPr>
        <w:pStyle w:val="Style1"/>
        <w:ind w:left="142" w:firstLine="0"/>
      </w:pPr>
      <w:r>
        <w:t>R.Vavilova</w:t>
      </w:r>
      <w:r w:rsidRPr="00C34502">
        <w:t xml:space="preserve"> paziņo, ka Dienesta mājas lapā </w:t>
      </w:r>
      <w:hyperlink r:id="rId8">
        <w:r w:rsidRPr="008F09CE">
          <w:rPr>
            <w:u w:val="single"/>
          </w:rPr>
          <w:t>www.socd.lv</w:t>
        </w:r>
      </w:hyperlink>
      <w:r w:rsidRPr="008B033F">
        <w:t xml:space="preserve"> </w:t>
      </w:r>
      <w:r w:rsidRPr="00C34502">
        <w:t>20</w:t>
      </w:r>
      <w:r>
        <w:t>25</w:t>
      </w:r>
      <w:r w:rsidRPr="00C34502">
        <w:t xml:space="preserve">.gada </w:t>
      </w:r>
      <w:r>
        <w:t>5.februārī</w:t>
      </w:r>
      <w:r w:rsidRPr="00C34502">
        <w:t xml:space="preserve"> tika publicēts informatīvais </w:t>
      </w:r>
      <w:r>
        <w:t>ziņojums</w:t>
      </w:r>
      <w:r w:rsidRPr="00C34502">
        <w:t xml:space="preserve"> par Publisko iepirkumu likumā nereglamentēto iepirkumu un uzaicinājums par līguma piešķiršanas tiesībām. Ziņojumā tika noteikts termiņš piedāvājumu iesniegšanai – līdz 20</w:t>
      </w:r>
      <w:r>
        <w:t>25</w:t>
      </w:r>
      <w:r w:rsidRPr="00C34502">
        <w:t xml:space="preserve">.gada </w:t>
      </w:r>
      <w:r w:rsidR="00362283">
        <w:t>12</w:t>
      </w:r>
      <w:r>
        <w:t>.februārim</w:t>
      </w:r>
      <w:r w:rsidRPr="00C34502">
        <w:t>, plkst.</w:t>
      </w:r>
      <w:r>
        <w:t>10</w:t>
      </w:r>
      <w:r w:rsidRPr="00C34502">
        <w:t xml:space="preserve">:00. </w:t>
      </w:r>
      <w:r w:rsidRPr="00E72ADE">
        <w:t xml:space="preserve">Saskaņā ar ziņojuma </w:t>
      </w:r>
      <w:r>
        <w:t>12.punktu piedāvājuma izvēles kritērijs ir</w:t>
      </w:r>
      <w:r w:rsidRPr="00E72ADE">
        <w:t xml:space="preserve"> </w:t>
      </w:r>
      <w:r w:rsidRPr="00924616">
        <w:t>saimnieciski izdevīgākais piedāvājums, kas atbilst ziņojumā norādītajām prasībām un kuru nosaka</w:t>
      </w:r>
      <w:r w:rsidR="00BE0C1E">
        <w:t>,</w:t>
      </w:r>
      <w:r w:rsidRPr="00924616">
        <w:t xml:space="preserve"> piemērojot punktu metodi</w:t>
      </w:r>
      <w:r w:rsidR="00BE0C1E">
        <w:t>,</w:t>
      </w:r>
      <w:r w:rsidRPr="00924616">
        <w:t xml:space="preserve"> t.i. aprēķinot iegūto punktu kopējo skaitu pēc katra kritērija novērtēšanas.</w:t>
      </w:r>
    </w:p>
    <w:p w14:paraId="77290139" w14:textId="66FA5369" w:rsidR="008F09CE" w:rsidRPr="003C0862" w:rsidRDefault="008F09CE" w:rsidP="00BE0C1E">
      <w:pPr>
        <w:pStyle w:val="Style1"/>
        <w:ind w:left="142" w:firstLine="0"/>
      </w:pPr>
      <w:r>
        <w:t>Piedāvājumus</w:t>
      </w:r>
      <w:r w:rsidRPr="008F09CE">
        <w:t xml:space="preserve"> zemsliekšņa iepirkumā iesniedza </w:t>
      </w:r>
      <w:r>
        <w:t>4</w:t>
      </w:r>
      <w:r w:rsidRPr="008F09CE">
        <w:t xml:space="preserve"> (</w:t>
      </w:r>
      <w:r>
        <w:t>četri</w:t>
      </w:r>
      <w:r w:rsidRPr="008F09CE">
        <w:t>) pretendenti:</w:t>
      </w:r>
    </w:p>
    <w:tbl>
      <w:tblPr>
        <w:tblStyle w:val="Reatabula"/>
        <w:tblW w:w="6660" w:type="dxa"/>
        <w:tblInd w:w="1129" w:type="dxa"/>
        <w:tblLook w:val="04A0" w:firstRow="1" w:lastRow="0" w:firstColumn="1" w:lastColumn="0" w:noHBand="0" w:noVBand="1"/>
      </w:tblPr>
      <w:tblGrid>
        <w:gridCol w:w="3649"/>
        <w:gridCol w:w="3011"/>
      </w:tblGrid>
      <w:tr w:rsidR="00AA7E57" w:rsidRPr="008946A3" w14:paraId="7308FCA6" w14:textId="73A3957D" w:rsidTr="00AA7E57">
        <w:trPr>
          <w:trHeight w:val="120"/>
        </w:trPr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2AFBAC90" w14:textId="77777777" w:rsidR="00AA7E57" w:rsidRPr="00AA7E57" w:rsidRDefault="00AA7E57" w:rsidP="001A0AA5">
            <w:pPr>
              <w:jc w:val="center"/>
              <w:rPr>
                <w:b/>
                <w:bCs/>
                <w:sz w:val="22"/>
                <w:szCs w:val="22"/>
              </w:rPr>
            </w:pPr>
            <w:r w:rsidRPr="00AA7E57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65AACE99" w14:textId="1B2DFA95" w:rsidR="00AA7E57" w:rsidRPr="00AA7E57" w:rsidRDefault="00AA7E57" w:rsidP="001A0AA5">
            <w:pPr>
              <w:jc w:val="center"/>
              <w:rPr>
                <w:b/>
                <w:bCs/>
                <w:sz w:val="22"/>
                <w:szCs w:val="22"/>
              </w:rPr>
            </w:pPr>
            <w:r w:rsidRPr="00AA7E57">
              <w:rPr>
                <w:b/>
                <w:bCs/>
                <w:sz w:val="22"/>
                <w:szCs w:val="22"/>
              </w:rPr>
              <w:t>Iegūtais punktu skaits</w:t>
            </w:r>
          </w:p>
        </w:tc>
      </w:tr>
      <w:tr w:rsidR="00AA7E57" w:rsidRPr="008946A3" w14:paraId="3DE159A0" w14:textId="17869CC1" w:rsidTr="00AA1F3E">
        <w:trPr>
          <w:trHeight w:val="351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0FE15611" w14:textId="6CC74C83" w:rsidR="00AA7E57" w:rsidRPr="008F09CE" w:rsidRDefault="00AA7E57" w:rsidP="00F74333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Apdrošināšanas akciju sabiedrība “BALTA”</w:t>
            </w:r>
          </w:p>
          <w:p w14:paraId="7E87842D" w14:textId="21098F43" w:rsidR="00AA7E57" w:rsidRPr="008F09CE" w:rsidRDefault="00AA7E57" w:rsidP="00F74333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(Reģ.nr. 40003049409)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223843E0" w14:textId="6668D18D" w:rsidR="00AA7E57" w:rsidRPr="008F09CE" w:rsidRDefault="008F09CE" w:rsidP="00AA7E57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113,64</w:t>
            </w:r>
          </w:p>
        </w:tc>
      </w:tr>
      <w:tr w:rsidR="008F09CE" w:rsidRPr="008946A3" w14:paraId="7D439FB0" w14:textId="77777777" w:rsidTr="00AA1F3E">
        <w:trPr>
          <w:trHeight w:val="351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13A95F92" w14:textId="77777777" w:rsidR="008F09CE" w:rsidRPr="008F09CE" w:rsidRDefault="008F09CE" w:rsidP="00F74333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Akcine draudimo bendrove "Gjensidige" Latvijas filiāle</w:t>
            </w:r>
          </w:p>
          <w:p w14:paraId="51AEA384" w14:textId="3BA21E10" w:rsidR="008F09CE" w:rsidRPr="008F09CE" w:rsidRDefault="008F09CE" w:rsidP="00F74333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(Reģ.nr. 40103595216)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33C3E562" w14:textId="3916775B" w:rsidR="008F09CE" w:rsidRPr="008F09CE" w:rsidRDefault="008F09CE" w:rsidP="00AA7E57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-</w:t>
            </w:r>
          </w:p>
        </w:tc>
      </w:tr>
      <w:tr w:rsidR="008F09CE" w:rsidRPr="008946A3" w14:paraId="70952849" w14:textId="77777777" w:rsidTr="00AA1F3E">
        <w:trPr>
          <w:trHeight w:val="351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3EAAA7AA" w14:textId="77777777" w:rsidR="008F09CE" w:rsidRPr="008F09CE" w:rsidRDefault="008F09CE" w:rsidP="00F74333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ERGO Insurance SE Latvijas filiāle</w:t>
            </w:r>
          </w:p>
          <w:p w14:paraId="5577436D" w14:textId="740FF282" w:rsidR="008F09CE" w:rsidRPr="00AA7E57" w:rsidRDefault="008F09CE" w:rsidP="00F74333">
            <w:pPr>
              <w:jc w:val="center"/>
            </w:pPr>
            <w:r w:rsidRPr="008F09CE">
              <w:rPr>
                <w:sz w:val="22"/>
                <w:szCs w:val="22"/>
              </w:rPr>
              <w:t>(Reģ.nr. 40003049409)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5B629904" w14:textId="057D75A2" w:rsidR="008F09CE" w:rsidRPr="008F09CE" w:rsidRDefault="008F09CE" w:rsidP="00AA7E57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99,68</w:t>
            </w:r>
          </w:p>
        </w:tc>
      </w:tr>
      <w:tr w:rsidR="00AA7E57" w:rsidRPr="008946A3" w14:paraId="51BF3154" w14:textId="63909ED9" w:rsidTr="00AA1F3E">
        <w:trPr>
          <w:trHeight w:val="351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0F816631" w14:textId="77777777" w:rsidR="00AA7E57" w:rsidRPr="00AA1F3E" w:rsidRDefault="00AA7E57" w:rsidP="00F74333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AA1F3E">
              <w:rPr>
                <w:sz w:val="22"/>
                <w:szCs w:val="22"/>
              </w:rPr>
              <w:t>AAS “BTA Baltic Insurance Company”</w:t>
            </w:r>
          </w:p>
          <w:bookmarkEnd w:id="0"/>
          <w:p w14:paraId="07E5C735" w14:textId="14B2035D" w:rsidR="00AA7E57" w:rsidRPr="00AA1F3E" w:rsidRDefault="00AA7E57" w:rsidP="00F74333">
            <w:pPr>
              <w:jc w:val="center"/>
              <w:rPr>
                <w:sz w:val="22"/>
                <w:szCs w:val="22"/>
              </w:rPr>
            </w:pPr>
            <w:r w:rsidRPr="00AA1F3E">
              <w:rPr>
                <w:sz w:val="22"/>
                <w:szCs w:val="22"/>
              </w:rPr>
              <w:t>(Reģ.nr.</w:t>
            </w:r>
            <w:r w:rsidR="008F09CE">
              <w:t xml:space="preserve"> </w:t>
            </w:r>
            <w:r w:rsidR="008F09CE" w:rsidRPr="008F09CE">
              <w:rPr>
                <w:sz w:val="22"/>
                <w:szCs w:val="22"/>
              </w:rPr>
              <w:t>40103840140</w:t>
            </w:r>
            <w:r w:rsidR="008F09CE">
              <w:rPr>
                <w:sz w:val="22"/>
                <w:szCs w:val="22"/>
              </w:rPr>
              <w:t>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3E2AC6B2" w14:textId="741734C6" w:rsidR="00AA7E57" w:rsidRPr="008F09CE" w:rsidRDefault="008F09CE" w:rsidP="00AA7E57">
            <w:pPr>
              <w:jc w:val="center"/>
              <w:rPr>
                <w:sz w:val="22"/>
                <w:szCs w:val="22"/>
              </w:rPr>
            </w:pPr>
            <w:r w:rsidRPr="008F09CE">
              <w:rPr>
                <w:sz w:val="22"/>
                <w:szCs w:val="22"/>
              </w:rPr>
              <w:t>113,28</w:t>
            </w:r>
          </w:p>
        </w:tc>
      </w:tr>
    </w:tbl>
    <w:p w14:paraId="7A6C28D9" w14:textId="27938316" w:rsidR="00994D61" w:rsidRDefault="00994D61" w:rsidP="00011205">
      <w:pPr>
        <w:pStyle w:val="Style1"/>
        <w:numPr>
          <w:ilvl w:val="0"/>
          <w:numId w:val="0"/>
        </w:numPr>
      </w:pPr>
    </w:p>
    <w:p w14:paraId="507A5B05" w14:textId="2BD5572F" w:rsidR="00E8636E" w:rsidRDefault="00937140" w:rsidP="00BE0C1E">
      <w:pPr>
        <w:pStyle w:val="Style1"/>
        <w:ind w:left="142" w:firstLine="0"/>
      </w:pPr>
      <w:r>
        <w:t xml:space="preserve">Izvērtējot </w:t>
      </w:r>
      <w:r w:rsidRPr="00937140">
        <w:t>Akcine draudimo bendrove "Gjensidige" Latvijas filiāle</w:t>
      </w:r>
      <w:r>
        <w:t xml:space="preserve">s iesniegto piedāvājumu, komisija konstatēja, ka pretendents piedāvājumam nav pievienojis informāciju par pieredzi </w:t>
      </w:r>
      <w:r>
        <w:lastRenderedPageBreak/>
        <w:t>apdrošināšanas pakalpojumu sniegšanā, kā tas ir norādīts ziņojuma 9.5.apakšpunktā, līdz ar to pretendents tiek izslēgts no dalības zemsliekšņa iepirkumā saskaņā ar ziņojuma 8.5.apakšpunktu.</w:t>
      </w:r>
    </w:p>
    <w:p w14:paraId="327E63BE" w14:textId="0B34D5D7" w:rsidR="00937140" w:rsidRDefault="00937140" w:rsidP="00BE0C1E">
      <w:pPr>
        <w:pStyle w:val="Style1"/>
        <w:ind w:left="142" w:firstLine="0"/>
      </w:pPr>
      <w:r>
        <w:t xml:space="preserve">Izvērtējot pārējo pretendentu iesniegtos piedāvājumus, komisija konstatēja, ka visi </w:t>
      </w:r>
      <w:r w:rsidR="00BE0C1E">
        <w:t>piedāvājumi</w:t>
      </w:r>
      <w:r>
        <w:t xml:space="preserve"> atbilst zemsliekšņa ziņojumā norādītajām prasībām, tomēr saimnieciski </w:t>
      </w:r>
      <w:r w:rsidR="00BE0C1E">
        <w:t>izdevīgākais</w:t>
      </w:r>
      <w:r>
        <w:t xml:space="preserve"> piedāvāju</w:t>
      </w:r>
      <w:r w:rsidR="00BE0C1E">
        <w:t>ms ir aproš</w:t>
      </w:r>
      <w:r>
        <w:t xml:space="preserve">ināšanas akciju sabiedrībai “BALTA” (iegūts </w:t>
      </w:r>
      <w:r w:rsidR="00BE0C1E">
        <w:t>vislielākais</w:t>
      </w:r>
      <w:r>
        <w:t xml:space="preserve"> punktu skaits 113,28</w:t>
      </w:r>
      <w:r w:rsidR="00BE0C1E">
        <w:t xml:space="preserve"> punkti)</w:t>
      </w:r>
      <w:r>
        <w:t>.</w:t>
      </w:r>
    </w:p>
    <w:p w14:paraId="596D458E" w14:textId="68E259C2" w:rsidR="00011205" w:rsidRDefault="00377C64" w:rsidP="00BE0C1E">
      <w:pPr>
        <w:pStyle w:val="Style1"/>
        <w:ind w:left="142" w:firstLine="0"/>
      </w:pPr>
      <w:r>
        <w:t xml:space="preserve">Komisija nolēma piešķirt </w:t>
      </w:r>
      <w:r w:rsidR="00937140">
        <w:t>apdrošināšanas akciju sabiedrībai “BALTA”</w:t>
      </w:r>
      <w:r>
        <w:t xml:space="preserve"> tiesības noslēgt ar Dienestu līgumu </w:t>
      </w:r>
      <w:r w:rsidR="00011205">
        <w:t>par darbinieku nelaimes gadījumu apdrošināšanu.</w:t>
      </w:r>
    </w:p>
    <w:p w14:paraId="6A49019A" w14:textId="5012319A" w:rsidR="00D83B0F" w:rsidRPr="00011205" w:rsidRDefault="00D83B0F" w:rsidP="00BE0C1E">
      <w:pPr>
        <w:pStyle w:val="Style1"/>
        <w:numPr>
          <w:ilvl w:val="0"/>
          <w:numId w:val="0"/>
        </w:numPr>
        <w:ind w:left="222" w:hanging="80"/>
      </w:pPr>
      <w:r w:rsidRPr="00011205">
        <w:t>Balsojums:</w:t>
      </w:r>
    </w:p>
    <w:p w14:paraId="1F374F36" w14:textId="5FF0036C" w:rsidR="008946A3" w:rsidRDefault="00E44C4C" w:rsidP="00BE0C1E">
      <w:pPr>
        <w:pStyle w:val="Pamatteksts"/>
        <w:tabs>
          <w:tab w:val="left" w:pos="0"/>
        </w:tabs>
        <w:spacing w:before="157"/>
        <w:ind w:hanging="80"/>
        <w:jc w:val="both"/>
      </w:pPr>
      <w:r>
        <w:t xml:space="preserve">    </w:t>
      </w:r>
      <w:r w:rsidR="008946A3" w:rsidRPr="008946A3">
        <w:t>R.Vavilova – “par”</w:t>
      </w:r>
    </w:p>
    <w:p w14:paraId="211949EA" w14:textId="535CF25B" w:rsidR="0056617C" w:rsidRDefault="0056617C" w:rsidP="00BE0C1E">
      <w:pPr>
        <w:pStyle w:val="Pamatteksts"/>
        <w:tabs>
          <w:tab w:val="left" w:pos="0"/>
        </w:tabs>
        <w:spacing w:before="157"/>
        <w:ind w:left="222" w:hanging="80"/>
        <w:jc w:val="both"/>
      </w:pPr>
      <w:r>
        <w:t>V.Loginovs</w:t>
      </w:r>
      <w:r w:rsidRPr="008946A3">
        <w:t xml:space="preserve"> – “par”</w:t>
      </w:r>
    </w:p>
    <w:p w14:paraId="03337339" w14:textId="6396BF50" w:rsidR="0056617C" w:rsidRPr="008946A3" w:rsidRDefault="0056617C" w:rsidP="00BE0C1E">
      <w:pPr>
        <w:pStyle w:val="Pamatteksts"/>
        <w:tabs>
          <w:tab w:val="left" w:pos="0"/>
        </w:tabs>
        <w:spacing w:before="157"/>
        <w:ind w:left="222" w:hanging="80"/>
        <w:jc w:val="both"/>
      </w:pPr>
      <w:r>
        <w:t>O.Daļecka</w:t>
      </w:r>
      <w:r w:rsidRPr="008946A3">
        <w:t xml:space="preserve"> – “par”</w:t>
      </w:r>
    </w:p>
    <w:p w14:paraId="27E69B77" w14:textId="179DAD2F" w:rsidR="008946A3" w:rsidRPr="008946A3" w:rsidRDefault="00937140" w:rsidP="00BE0C1E">
      <w:pPr>
        <w:pStyle w:val="Pamatteksts"/>
        <w:tabs>
          <w:tab w:val="left" w:pos="0"/>
        </w:tabs>
        <w:spacing w:before="157"/>
        <w:ind w:left="222" w:hanging="80"/>
        <w:jc w:val="both"/>
      </w:pPr>
      <w:r>
        <w:t>L.Kiškoviča</w:t>
      </w:r>
      <w:r w:rsidR="008946A3" w:rsidRPr="008946A3">
        <w:t xml:space="preserve"> – “par”</w:t>
      </w:r>
    </w:p>
    <w:p w14:paraId="3C9F6ADC" w14:textId="77777777" w:rsidR="008946A3" w:rsidRDefault="008946A3" w:rsidP="00BE0C1E">
      <w:pPr>
        <w:pStyle w:val="Pamatteksts"/>
        <w:tabs>
          <w:tab w:val="left" w:pos="0"/>
        </w:tabs>
        <w:spacing w:before="157"/>
        <w:ind w:left="222" w:hanging="80"/>
        <w:jc w:val="both"/>
      </w:pPr>
      <w:r w:rsidRPr="008946A3">
        <w:t>K.Cimoška – “par”</w:t>
      </w:r>
    </w:p>
    <w:p w14:paraId="4E9A4DFA" w14:textId="4772D2CE" w:rsidR="00937140" w:rsidRPr="008946A3" w:rsidRDefault="00937140" w:rsidP="00BE0C1E">
      <w:pPr>
        <w:pStyle w:val="Pamatteksts"/>
        <w:tabs>
          <w:tab w:val="left" w:pos="0"/>
        </w:tabs>
        <w:spacing w:before="157"/>
        <w:ind w:left="222" w:hanging="80"/>
        <w:jc w:val="both"/>
      </w:pPr>
      <w:r>
        <w:t>M.Liniņa – “par”</w:t>
      </w:r>
    </w:p>
    <w:p w14:paraId="72071522" w14:textId="741A3943" w:rsidR="008946A3" w:rsidRDefault="0056617C" w:rsidP="00BE0C1E">
      <w:pPr>
        <w:pStyle w:val="Pamatteksts"/>
        <w:tabs>
          <w:tab w:val="left" w:pos="0"/>
        </w:tabs>
        <w:spacing w:before="157"/>
        <w:ind w:left="222" w:hanging="80"/>
        <w:jc w:val="both"/>
        <w:rPr>
          <w:i/>
          <w:iCs/>
        </w:rPr>
      </w:pPr>
      <w:r>
        <w:rPr>
          <w:i/>
          <w:iCs/>
        </w:rPr>
        <w:t xml:space="preserve">Kopā: </w:t>
      </w:r>
      <w:r w:rsidR="00937140">
        <w:rPr>
          <w:i/>
          <w:iCs/>
        </w:rPr>
        <w:t>6</w:t>
      </w:r>
      <w:r w:rsidR="008946A3" w:rsidRPr="008946A3">
        <w:rPr>
          <w:i/>
          <w:iCs/>
        </w:rPr>
        <w:t xml:space="preserve"> (</w:t>
      </w:r>
      <w:r w:rsidR="00937140">
        <w:rPr>
          <w:i/>
          <w:iCs/>
        </w:rPr>
        <w:t>sešas</w:t>
      </w:r>
      <w:r w:rsidR="008946A3" w:rsidRPr="008946A3">
        <w:rPr>
          <w:i/>
          <w:iCs/>
        </w:rPr>
        <w:t>) balsis “par”, “pret” – nav, „atturas” – nav.</w:t>
      </w:r>
    </w:p>
    <w:p w14:paraId="26A510A9" w14:textId="77777777" w:rsidR="00011205" w:rsidRPr="008946A3" w:rsidRDefault="00011205" w:rsidP="00BE0C1E">
      <w:pPr>
        <w:pStyle w:val="Pamatteksts"/>
        <w:tabs>
          <w:tab w:val="left" w:pos="0"/>
        </w:tabs>
        <w:spacing w:before="157"/>
        <w:ind w:left="222" w:hanging="80"/>
        <w:jc w:val="both"/>
        <w:rPr>
          <w:i/>
          <w:iCs/>
        </w:rPr>
      </w:pPr>
    </w:p>
    <w:p w14:paraId="6034B638" w14:textId="016FD73F" w:rsidR="00D83B0F" w:rsidRPr="008946A3" w:rsidRDefault="00D83B0F" w:rsidP="00BE0C1E">
      <w:pPr>
        <w:pStyle w:val="Pamatteksts"/>
        <w:spacing w:before="120"/>
        <w:ind w:left="222" w:hanging="80"/>
        <w:jc w:val="both"/>
        <w:rPr>
          <w:color w:val="000000" w:themeColor="text1"/>
        </w:rPr>
      </w:pPr>
      <w:r w:rsidRPr="008946A3">
        <w:rPr>
          <w:color w:val="000000" w:themeColor="text1"/>
        </w:rPr>
        <w:t xml:space="preserve">Sēde paziņota par slēgtu plkst. </w:t>
      </w:r>
      <w:r w:rsidR="00765E64">
        <w:rPr>
          <w:color w:val="000000" w:themeColor="text1"/>
        </w:rPr>
        <w:t>11</w:t>
      </w:r>
      <w:r w:rsidR="00011205">
        <w:rPr>
          <w:color w:val="000000" w:themeColor="text1"/>
        </w:rPr>
        <w:t>:</w:t>
      </w:r>
      <w:r w:rsidR="00765E64">
        <w:rPr>
          <w:color w:val="000000" w:themeColor="text1"/>
        </w:rPr>
        <w:t>20</w:t>
      </w:r>
    </w:p>
    <w:p w14:paraId="613F7CED" w14:textId="77777777" w:rsidR="00D83B0F" w:rsidRPr="008946A3" w:rsidRDefault="00D83B0F" w:rsidP="00BE0C1E">
      <w:pPr>
        <w:pStyle w:val="Pamatteksts"/>
        <w:spacing w:before="120"/>
        <w:ind w:left="222" w:hanging="80"/>
      </w:pPr>
      <w:r w:rsidRPr="008946A3">
        <w:t>Protokols ir sastādīts uz 2 lpp.</w:t>
      </w:r>
    </w:p>
    <w:p w14:paraId="5BA8703B" w14:textId="77777777" w:rsidR="00D83B0F" w:rsidRPr="008946A3" w:rsidRDefault="00D83B0F" w:rsidP="00BE0C1E">
      <w:pPr>
        <w:pStyle w:val="Pamatteksts"/>
        <w:spacing w:before="9"/>
        <w:ind w:hanging="80"/>
      </w:pPr>
    </w:p>
    <w:p w14:paraId="67E662FE" w14:textId="69B19095" w:rsidR="00D83B0F" w:rsidRDefault="00006EE2" w:rsidP="00BE0C1E">
      <w:pPr>
        <w:spacing w:after="240"/>
        <w:ind w:hanging="80"/>
      </w:pPr>
      <w:r w:rsidRPr="008946A3">
        <w:t xml:space="preserve">    Sēdes dalībnieki:                                                </w:t>
      </w:r>
      <w:r w:rsidR="00A04579" w:rsidRPr="008946A3">
        <w:t xml:space="preserve">                                                     </w:t>
      </w:r>
      <w:r w:rsidR="0065123F" w:rsidRPr="008946A3">
        <w:t xml:space="preserve">  </w:t>
      </w:r>
      <w:r w:rsidR="00A04579" w:rsidRPr="008946A3">
        <w:t xml:space="preserve"> </w:t>
      </w:r>
      <w:r w:rsidRPr="008946A3">
        <w:t>R.Vavilova</w:t>
      </w:r>
    </w:p>
    <w:p w14:paraId="23A90A35" w14:textId="4DAE7A60" w:rsidR="0056617C" w:rsidRDefault="0056617C" w:rsidP="00937140">
      <w:pPr>
        <w:spacing w:after="240"/>
        <w:ind w:hanging="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V.Loginovs</w:t>
      </w:r>
    </w:p>
    <w:p w14:paraId="610BCAE0" w14:textId="53D61434" w:rsidR="00006EE2" w:rsidRPr="008946A3" w:rsidRDefault="001D5C57" w:rsidP="00937140">
      <w:pPr>
        <w:spacing w:after="240"/>
        <w:ind w:left="6480" w:firstLine="720"/>
      </w:pPr>
      <w:r>
        <w:t xml:space="preserve">   O.Daļecka</w:t>
      </w:r>
    </w:p>
    <w:p w14:paraId="46BAE644" w14:textId="77777777" w:rsidR="00937140" w:rsidRDefault="003459E3" w:rsidP="00937140">
      <w:pPr>
        <w:tabs>
          <w:tab w:val="left" w:pos="6105"/>
        </w:tabs>
        <w:spacing w:after="240"/>
      </w:pPr>
      <w:r w:rsidRPr="008946A3">
        <w:tab/>
      </w:r>
      <w:r w:rsidR="00A04579" w:rsidRPr="008946A3">
        <w:t xml:space="preserve">                       </w:t>
      </w:r>
      <w:r w:rsidR="00937140">
        <w:t>L.Kiškoviča</w:t>
      </w:r>
    </w:p>
    <w:p w14:paraId="1C72E245" w14:textId="14F324D6" w:rsidR="00006EE2" w:rsidRDefault="00937140" w:rsidP="00937140">
      <w:pPr>
        <w:tabs>
          <w:tab w:val="left" w:pos="6105"/>
        </w:tabs>
        <w:spacing w:after="240"/>
      </w:pPr>
      <w:r>
        <w:tab/>
      </w:r>
      <w:r>
        <w:tab/>
      </w:r>
      <w:r>
        <w:tab/>
        <w:t xml:space="preserve">   K.Cimoška</w:t>
      </w:r>
      <w:r w:rsidR="003459E3" w:rsidRPr="008946A3">
        <w:t xml:space="preserve"> </w:t>
      </w:r>
    </w:p>
    <w:p w14:paraId="14DA727B" w14:textId="56D1EE33" w:rsidR="003459E3" w:rsidRPr="008946A3" w:rsidRDefault="00937140" w:rsidP="00937140">
      <w:pPr>
        <w:tabs>
          <w:tab w:val="left" w:pos="6105"/>
        </w:tabs>
        <w:spacing w:after="240"/>
      </w:pPr>
      <w:r>
        <w:tab/>
      </w:r>
      <w:r>
        <w:tab/>
      </w:r>
      <w:r>
        <w:tab/>
        <w:t xml:space="preserve">   M.Liniņa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B26F9F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937140" w:rsidRDefault="00937140" w:rsidP="001C2EB8">
      <w:r>
        <w:separator/>
      </w:r>
    </w:p>
  </w:endnote>
  <w:endnote w:type="continuationSeparator" w:id="0">
    <w:p w14:paraId="10C8179B" w14:textId="77777777" w:rsidR="00937140" w:rsidRDefault="00937140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Content>
      <w:p w14:paraId="3B02AD59" w14:textId="077D1980" w:rsidR="00937140" w:rsidRDefault="0093714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C4" w:rsidRPr="00A237C4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937140" w:rsidRDefault="0093714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937140" w:rsidRDefault="00937140" w:rsidP="001C2EB8">
      <w:r>
        <w:separator/>
      </w:r>
    </w:p>
  </w:footnote>
  <w:footnote w:type="continuationSeparator" w:id="0">
    <w:p w14:paraId="2FBD8AA3" w14:textId="77777777" w:rsidR="00937140" w:rsidRDefault="00937140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FCBA15A2"/>
    <w:lvl w:ilvl="0" w:tplc="4A18D12A">
      <w:start w:val="1"/>
      <w:numFmt w:val="decimal"/>
      <w:pStyle w:val="Style1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1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3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7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05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37D7"/>
    <w:rsid w:val="000F44FF"/>
    <w:rsid w:val="000F651A"/>
    <w:rsid w:val="000F7ED7"/>
    <w:rsid w:val="00105398"/>
    <w:rsid w:val="0011075D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209C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C5998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743F"/>
    <w:rsid w:val="00325A35"/>
    <w:rsid w:val="00332FEE"/>
    <w:rsid w:val="003337F4"/>
    <w:rsid w:val="00341E25"/>
    <w:rsid w:val="0034266A"/>
    <w:rsid w:val="003459E3"/>
    <w:rsid w:val="00353188"/>
    <w:rsid w:val="00354CBF"/>
    <w:rsid w:val="00362283"/>
    <w:rsid w:val="00373DD1"/>
    <w:rsid w:val="00377C64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E6ABA"/>
    <w:rsid w:val="005F74C5"/>
    <w:rsid w:val="00601966"/>
    <w:rsid w:val="00603A77"/>
    <w:rsid w:val="00611A79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65E64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46A3"/>
    <w:rsid w:val="00896BD1"/>
    <w:rsid w:val="008B033F"/>
    <w:rsid w:val="008B2D1D"/>
    <w:rsid w:val="008C55FA"/>
    <w:rsid w:val="008C6B0C"/>
    <w:rsid w:val="008D2DAA"/>
    <w:rsid w:val="008D5989"/>
    <w:rsid w:val="008D69F1"/>
    <w:rsid w:val="008E4A94"/>
    <w:rsid w:val="008F09CE"/>
    <w:rsid w:val="008F481F"/>
    <w:rsid w:val="008F50C0"/>
    <w:rsid w:val="00911149"/>
    <w:rsid w:val="0092167D"/>
    <w:rsid w:val="00926DDD"/>
    <w:rsid w:val="00937140"/>
    <w:rsid w:val="00950009"/>
    <w:rsid w:val="009570F1"/>
    <w:rsid w:val="009614A2"/>
    <w:rsid w:val="009820C0"/>
    <w:rsid w:val="00982770"/>
    <w:rsid w:val="00994D61"/>
    <w:rsid w:val="009A6189"/>
    <w:rsid w:val="009A6D18"/>
    <w:rsid w:val="009A7A68"/>
    <w:rsid w:val="009B36C8"/>
    <w:rsid w:val="009B3A42"/>
    <w:rsid w:val="009F2E8A"/>
    <w:rsid w:val="00A04579"/>
    <w:rsid w:val="00A05FD8"/>
    <w:rsid w:val="00A1032D"/>
    <w:rsid w:val="00A124BB"/>
    <w:rsid w:val="00A20C9A"/>
    <w:rsid w:val="00A237C4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1F3E"/>
    <w:rsid w:val="00AA4921"/>
    <w:rsid w:val="00AA7E57"/>
    <w:rsid w:val="00AC1D7C"/>
    <w:rsid w:val="00AC2E3F"/>
    <w:rsid w:val="00AC7AE5"/>
    <w:rsid w:val="00AD272E"/>
    <w:rsid w:val="00AD2EC9"/>
    <w:rsid w:val="00AE029A"/>
    <w:rsid w:val="00AE4FA4"/>
    <w:rsid w:val="00B0622C"/>
    <w:rsid w:val="00B076D7"/>
    <w:rsid w:val="00B119F2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D3311"/>
    <w:rsid w:val="00BE0C1E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B79D8"/>
    <w:rsid w:val="00ED1318"/>
    <w:rsid w:val="00ED20EC"/>
    <w:rsid w:val="00EF1228"/>
    <w:rsid w:val="00EF50BA"/>
    <w:rsid w:val="00F033F3"/>
    <w:rsid w:val="00F045AF"/>
    <w:rsid w:val="00F04F09"/>
    <w:rsid w:val="00F10F8B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011205"/>
    <w:pPr>
      <w:widowControl/>
      <w:numPr>
        <w:numId w:val="1"/>
      </w:numPr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spacing w:after="120"/>
      <w:jc w:val="both"/>
    </w:pPr>
    <w:rPr>
      <w:rFonts w:ascii="Times New Roman" w:eastAsia="Times New Roman" w:hAnsi="Times New Roman" w:cs="Times New Roman"/>
      <w:bCs/>
      <w:lang w:val="lv-LV"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1075D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1075D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Beiguvresatsauce">
    <w:name w:val="endnote reference"/>
    <w:basedOn w:val="Noklusjumarindkopasfonts"/>
    <w:uiPriority w:val="99"/>
    <w:semiHidden/>
    <w:unhideWhenUsed/>
    <w:rsid w:val="0011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C4FF-B8CC-4651-B630-ACC4FFA0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2025-03-05T07:46:00Z</cp:lastPrinted>
  <dcterms:created xsi:type="dcterms:W3CDTF">2025-03-05T09:14:00Z</dcterms:created>
  <dcterms:modified xsi:type="dcterms:W3CDTF">2025-03-05T09:14:00Z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